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D" w:rsidRDefault="00012C34" w:rsidP="00012C34">
      <w:pPr>
        <w:jc w:val="both"/>
      </w:pPr>
      <w:r w:rsidRPr="00012C34">
        <w:t xml:space="preserve">Tendo em vista o contrato de n. 22/2015, ter sido aditivado na sua vigência, por mais 90 (noventa) dias, até que o processo licitatório n. 32/2015/PMCB, Pregão Presencial n. 14/2015/PMCB, restasse concluído, fica a presente Dispensa de Licitação, </w:t>
      </w:r>
      <w:proofErr w:type="gramStart"/>
      <w:r w:rsidRPr="00012C34">
        <w:t>Revogada, por interesse público</w:t>
      </w:r>
      <w:proofErr w:type="gramEnd"/>
      <w:r w:rsidRPr="00012C34">
        <w:t xml:space="preserve">.   </w:t>
      </w:r>
    </w:p>
    <w:sectPr w:rsidR="00E455AD" w:rsidSect="00347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12C34"/>
    <w:rsid w:val="00012C34"/>
    <w:rsid w:val="003475BC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2015-07-06T12:28:00Z</dcterms:created>
  <dcterms:modified xsi:type="dcterms:W3CDTF">2015-07-06T12:33:00Z</dcterms:modified>
</cp:coreProperties>
</file>